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52" w:rsidRPr="00274CE3" w:rsidRDefault="00A10552" w:rsidP="00A10552">
      <w:pPr>
        <w:pStyle w:val="a5"/>
        <w:ind w:firstLine="709"/>
        <w:jc w:val="both"/>
        <w:rPr>
          <w:rFonts w:ascii="Times New Roman" w:hAnsi="Times New Roman" w:cs="Times New Roman"/>
          <w:sz w:val="24"/>
          <w:szCs w:val="24"/>
        </w:rPr>
      </w:pPr>
      <w:proofErr w:type="gramStart"/>
      <w:r w:rsidRPr="00274CE3">
        <w:rPr>
          <w:rFonts w:ascii="Times New Roman" w:hAnsi="Times New Roman" w:cs="Times New Roman"/>
          <w:sz w:val="24"/>
          <w:szCs w:val="24"/>
        </w:rPr>
        <w:t>Согласно п.20 Постановления</w:t>
      </w:r>
      <w:r w:rsidR="00945C74" w:rsidRPr="00274CE3">
        <w:rPr>
          <w:rFonts w:ascii="Times New Roman" w:hAnsi="Times New Roman" w:cs="Times New Roman"/>
          <w:sz w:val="24"/>
          <w:szCs w:val="24"/>
        </w:rPr>
        <w:t xml:space="preserve"> Правительства Новгородской области</w:t>
      </w:r>
      <w:r w:rsidRPr="00274CE3">
        <w:rPr>
          <w:rFonts w:ascii="Times New Roman" w:hAnsi="Times New Roman" w:cs="Times New Roman"/>
          <w:sz w:val="24"/>
          <w:szCs w:val="24"/>
        </w:rPr>
        <w:t xml:space="preserve"> № 169 от 17.06.2021 "Об утверждении Порядка предоставления в 2021-2023 годах субсидий юридическим лицам и индивидуальным предпринимателям на возмещение недополученных доходов в связи с реализацией</w:t>
      </w:r>
      <w:r w:rsidRPr="00274CE3">
        <w:rPr>
          <w:rFonts w:ascii="Times New Roman" w:hAnsi="Times New Roman" w:cs="Times New Roman"/>
          <w:sz w:val="24"/>
          <w:szCs w:val="24"/>
        </w:rPr>
        <w:t xml:space="preserve"> </w:t>
      </w:r>
      <w:r w:rsidRPr="00274CE3">
        <w:rPr>
          <w:rFonts w:ascii="Times New Roman" w:hAnsi="Times New Roman" w:cs="Times New Roman"/>
          <w:sz w:val="24"/>
          <w:szCs w:val="24"/>
        </w:rPr>
        <w:t>мероприятий по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roofErr w:type="gramEnd"/>
    </w:p>
    <w:p w:rsidR="00A10552" w:rsidRDefault="00A10552" w:rsidP="00A10552">
      <w:pPr>
        <w:pStyle w:val="a5"/>
        <w:ind w:firstLine="709"/>
        <w:jc w:val="both"/>
        <w:rPr>
          <w:rFonts w:ascii="Times New Roman" w:hAnsi="Times New Roman" w:cs="Times New Roman"/>
          <w:sz w:val="24"/>
          <w:szCs w:val="24"/>
        </w:rPr>
      </w:pPr>
      <w:proofErr w:type="gramStart"/>
      <w:r w:rsidRPr="00274CE3">
        <w:rPr>
          <w:rFonts w:ascii="Times New Roman" w:hAnsi="Times New Roman" w:cs="Times New Roman"/>
          <w:sz w:val="24"/>
          <w:szCs w:val="24"/>
        </w:rPr>
        <w:t>Размер субсидии определяется равным размеру скидки, предоставленной победителем отбора владельцу транспортного средства, но не более одной трети (в 2021 году – не более одной второй в случае, если владельцем переоборудованного транспортного средства (в том числе на основании договора лизинга) является физическое лицо или юридическое лицо – субъект малого или среднего предпринимательства) общей стоимости указанных работ (включая стоимость газобаллонного оборудования) и не более</w:t>
      </w:r>
      <w:proofErr w:type="gramEnd"/>
      <w:r w:rsidRPr="00274CE3">
        <w:rPr>
          <w:rFonts w:ascii="Times New Roman" w:hAnsi="Times New Roman" w:cs="Times New Roman"/>
          <w:sz w:val="24"/>
          <w:szCs w:val="24"/>
        </w:rPr>
        <w:t xml:space="preserve"> максимального размера, указанного в таблице: </w:t>
      </w:r>
    </w:p>
    <w:p w:rsidR="00274CE3" w:rsidRPr="00274CE3" w:rsidRDefault="00274CE3" w:rsidP="00A10552">
      <w:pPr>
        <w:pStyle w:val="a5"/>
        <w:ind w:firstLine="709"/>
        <w:jc w:val="both"/>
        <w:rPr>
          <w:rFonts w:ascii="Times New Roman" w:hAnsi="Times New Roman" w:cs="Times New Roman"/>
          <w:sz w:val="24"/>
          <w:szCs w:val="24"/>
        </w:rPr>
      </w:pPr>
      <w:r>
        <w:rPr>
          <w:rFonts w:ascii="Times New Roman" w:hAnsi="Times New Roman" w:cs="Times New Roman"/>
          <w:sz w:val="24"/>
          <w:szCs w:val="24"/>
        </w:rPr>
        <w:t>Таблица</w:t>
      </w:r>
      <w:bookmarkStart w:id="0" w:name="_GoBack"/>
      <w:bookmarkEnd w:id="0"/>
    </w:p>
    <w:tbl>
      <w:tblPr>
        <w:tblStyle w:val="a6"/>
        <w:tblW w:w="10032" w:type="dxa"/>
        <w:tblInd w:w="108" w:type="dxa"/>
        <w:tblLayout w:type="fixed"/>
        <w:tblLook w:val="04A0" w:firstRow="1" w:lastRow="0" w:firstColumn="1" w:lastColumn="0" w:noHBand="0" w:noVBand="1"/>
      </w:tblPr>
      <w:tblGrid>
        <w:gridCol w:w="567"/>
        <w:gridCol w:w="7655"/>
        <w:gridCol w:w="1810"/>
      </w:tblGrid>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proofErr w:type="gramStart"/>
            <w:r w:rsidRPr="00274CE3">
              <w:rPr>
                <w:rFonts w:ascii="Times New Roman" w:hAnsi="Times New Roman" w:cs="Times New Roman"/>
                <w:sz w:val="24"/>
                <w:szCs w:val="24"/>
              </w:rPr>
              <w:t>п</w:t>
            </w:r>
            <w:proofErr w:type="gramEnd"/>
            <w:r w:rsidRPr="00274CE3">
              <w:rPr>
                <w:rFonts w:ascii="Times New Roman" w:hAnsi="Times New Roman" w:cs="Times New Roman"/>
                <w:sz w:val="24"/>
                <w:szCs w:val="24"/>
              </w:rPr>
              <w:t>/п</w:t>
            </w: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Вид транспортного средства</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Максимальный размер субсидии (</w:t>
            </w:r>
            <w:proofErr w:type="spellStart"/>
            <w:r w:rsidRPr="00274CE3">
              <w:rPr>
                <w:rFonts w:ascii="Times New Roman" w:hAnsi="Times New Roman" w:cs="Times New Roman"/>
                <w:sz w:val="24"/>
                <w:szCs w:val="24"/>
              </w:rPr>
              <w:t>тыс</w:t>
            </w:r>
            <w:proofErr w:type="gramStart"/>
            <w:r w:rsidRPr="00274CE3">
              <w:rPr>
                <w:rFonts w:ascii="Times New Roman" w:hAnsi="Times New Roman" w:cs="Times New Roman"/>
                <w:sz w:val="24"/>
                <w:szCs w:val="24"/>
              </w:rPr>
              <w:t>.р</w:t>
            </w:r>
            <w:proofErr w:type="gramEnd"/>
            <w:r w:rsidRPr="00274CE3">
              <w:rPr>
                <w:rFonts w:ascii="Times New Roman" w:hAnsi="Times New Roman" w:cs="Times New Roman"/>
                <w:sz w:val="24"/>
                <w:szCs w:val="24"/>
              </w:rPr>
              <w:t>уб</w:t>
            </w:r>
            <w:proofErr w:type="spellEnd"/>
            <w:r w:rsidRPr="00274CE3">
              <w:rPr>
                <w:rFonts w:ascii="Times New Roman" w:hAnsi="Times New Roman" w:cs="Times New Roman"/>
                <w:sz w:val="24"/>
                <w:szCs w:val="24"/>
              </w:rPr>
              <w:t>.)</w:t>
            </w: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1.</w:t>
            </w: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Легковой автомобиль</w:t>
            </w:r>
          </w:p>
        </w:tc>
        <w:tc>
          <w:tcPr>
            <w:tcW w:w="1810" w:type="dxa"/>
          </w:tcPr>
          <w:p w:rsidR="00274CE3" w:rsidRPr="00274CE3" w:rsidRDefault="00274CE3" w:rsidP="003D5F91">
            <w:pPr>
              <w:pStyle w:val="a5"/>
              <w:jc w:val="both"/>
              <w:rPr>
                <w:rFonts w:ascii="Times New Roman" w:hAnsi="Times New Roman" w:cs="Times New Roman"/>
                <w:sz w:val="24"/>
                <w:szCs w:val="24"/>
              </w:rPr>
            </w:pP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максимальной разрешенной массой до 1800 кг</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24,3</w:t>
            </w: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максимальной разрешенной массой от 1801 кг до 2499 кг</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30,6</w:t>
            </w: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максимальной разрешенной массой 2500 кг и выше</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37,8</w:t>
            </w: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2.</w:t>
            </w: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Легкий грузовой транспорт (транспортные средства категории N1 в соответствии с классификацией транспортных средств по категориям, установленной техническим регламентом Таможенного союза «О безопасности колесных транспортных средств» (</w:t>
            </w:r>
            <w:proofErr w:type="gramStart"/>
            <w:r w:rsidRPr="00274CE3">
              <w:rPr>
                <w:rFonts w:ascii="Times New Roman" w:hAnsi="Times New Roman" w:cs="Times New Roman"/>
                <w:sz w:val="24"/>
                <w:szCs w:val="24"/>
              </w:rPr>
              <w:t>ТР</w:t>
            </w:r>
            <w:proofErr w:type="gramEnd"/>
            <w:r w:rsidRPr="00274CE3">
              <w:rPr>
                <w:rFonts w:ascii="Times New Roman" w:hAnsi="Times New Roman" w:cs="Times New Roman"/>
                <w:sz w:val="24"/>
                <w:szCs w:val="24"/>
              </w:rPr>
              <w:t xml:space="preserve"> ТС 018/2011), массой до 3500 кг)</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43,2</w:t>
            </w: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3.</w:t>
            </w: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Автобус (до 8 м)</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56,7</w:t>
            </w: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4.</w:t>
            </w: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Автобус (свыше 8 м)</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99,9</w:t>
            </w: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5.</w:t>
            </w: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 xml:space="preserve">Грузовой автомобиль, кроме легкого грузового транспорта и магистрального тягача (перевод в газовый и </w:t>
            </w:r>
            <w:proofErr w:type="spellStart"/>
            <w:r w:rsidRPr="00274CE3">
              <w:rPr>
                <w:rFonts w:ascii="Times New Roman" w:hAnsi="Times New Roman" w:cs="Times New Roman"/>
                <w:sz w:val="24"/>
                <w:szCs w:val="24"/>
              </w:rPr>
              <w:t>оитопливный</w:t>
            </w:r>
            <w:proofErr w:type="spellEnd"/>
            <w:r w:rsidRPr="00274CE3">
              <w:rPr>
                <w:rFonts w:ascii="Times New Roman" w:hAnsi="Times New Roman" w:cs="Times New Roman"/>
                <w:sz w:val="24"/>
                <w:szCs w:val="24"/>
              </w:rPr>
              <w:t xml:space="preserve">, в том </w:t>
            </w:r>
            <w:proofErr w:type="gramStart"/>
            <w:r w:rsidRPr="00274CE3">
              <w:rPr>
                <w:rFonts w:ascii="Times New Roman" w:hAnsi="Times New Roman" w:cs="Times New Roman"/>
                <w:sz w:val="24"/>
                <w:szCs w:val="24"/>
              </w:rPr>
              <w:t>числе</w:t>
            </w:r>
            <w:proofErr w:type="gramEnd"/>
            <w:r w:rsidRPr="00274CE3">
              <w:rPr>
                <w:rFonts w:ascii="Times New Roman" w:hAnsi="Times New Roman" w:cs="Times New Roman"/>
                <w:sz w:val="24"/>
                <w:szCs w:val="24"/>
              </w:rPr>
              <w:t xml:space="preserve"> газодизельный, циклы)</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102,6</w:t>
            </w: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6.</w:t>
            </w: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 xml:space="preserve">Грузовой автомобиль, кроме легкого грузового транспорта и магистрального тягача (перевод в газовый цикл - </w:t>
            </w:r>
            <w:proofErr w:type="spellStart"/>
            <w:r w:rsidRPr="00274CE3">
              <w:rPr>
                <w:rFonts w:ascii="Times New Roman" w:hAnsi="Times New Roman" w:cs="Times New Roman"/>
                <w:sz w:val="24"/>
                <w:szCs w:val="24"/>
              </w:rPr>
              <w:t>ремоторизация</w:t>
            </w:r>
            <w:proofErr w:type="spellEnd"/>
            <w:r w:rsidRPr="00274CE3">
              <w:rPr>
                <w:rFonts w:ascii="Times New Roman" w:hAnsi="Times New Roman" w:cs="Times New Roman"/>
                <w:sz w:val="24"/>
                <w:szCs w:val="24"/>
              </w:rPr>
              <w:t xml:space="preserve"> с установкой двигателя, предназначенного для работы на природном газе)</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180,0</w:t>
            </w:r>
          </w:p>
        </w:tc>
      </w:tr>
      <w:tr w:rsidR="00274CE3" w:rsidRPr="00274CE3" w:rsidTr="00274CE3">
        <w:tc>
          <w:tcPr>
            <w:tcW w:w="567"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7.</w:t>
            </w:r>
          </w:p>
        </w:tc>
        <w:tc>
          <w:tcPr>
            <w:tcW w:w="7655"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Магистральный тягач</w:t>
            </w:r>
          </w:p>
        </w:tc>
        <w:tc>
          <w:tcPr>
            <w:tcW w:w="1810" w:type="dxa"/>
          </w:tcPr>
          <w:p w:rsidR="00274CE3" w:rsidRPr="00274CE3" w:rsidRDefault="00274CE3" w:rsidP="003D5F91">
            <w:pPr>
              <w:pStyle w:val="a5"/>
              <w:jc w:val="both"/>
              <w:rPr>
                <w:rFonts w:ascii="Times New Roman" w:hAnsi="Times New Roman" w:cs="Times New Roman"/>
                <w:sz w:val="24"/>
                <w:szCs w:val="24"/>
              </w:rPr>
            </w:pPr>
            <w:r w:rsidRPr="00274CE3">
              <w:rPr>
                <w:rFonts w:ascii="Times New Roman" w:hAnsi="Times New Roman" w:cs="Times New Roman"/>
                <w:sz w:val="24"/>
                <w:szCs w:val="24"/>
              </w:rPr>
              <w:t>132,3</w:t>
            </w:r>
          </w:p>
        </w:tc>
      </w:tr>
    </w:tbl>
    <w:p w:rsidR="00A10552" w:rsidRPr="00274CE3" w:rsidRDefault="00A10552" w:rsidP="00A10552">
      <w:pPr>
        <w:pStyle w:val="a5"/>
        <w:rPr>
          <w:rFonts w:ascii="Times New Roman" w:hAnsi="Times New Roman" w:cs="Times New Roman"/>
          <w:sz w:val="24"/>
          <w:szCs w:val="24"/>
        </w:rPr>
      </w:pPr>
      <w:r w:rsidRPr="00274CE3">
        <w:rPr>
          <w:rFonts w:ascii="Times New Roman" w:hAnsi="Times New Roman" w:cs="Times New Roman"/>
          <w:sz w:val="24"/>
          <w:szCs w:val="24"/>
        </w:rPr>
        <w:t xml:space="preserve"> </w:t>
      </w:r>
    </w:p>
    <w:p w:rsidR="00A10552" w:rsidRPr="00274CE3" w:rsidRDefault="00A10552" w:rsidP="002B225D">
      <w:pPr>
        <w:pStyle w:val="a5"/>
        <w:ind w:firstLine="709"/>
        <w:jc w:val="both"/>
        <w:rPr>
          <w:rFonts w:ascii="Times New Roman" w:hAnsi="Times New Roman" w:cs="Times New Roman"/>
          <w:sz w:val="24"/>
          <w:szCs w:val="24"/>
        </w:rPr>
      </w:pPr>
      <w:r w:rsidRPr="00274CE3">
        <w:rPr>
          <w:rFonts w:ascii="Times New Roman" w:hAnsi="Times New Roman" w:cs="Times New Roman"/>
          <w:sz w:val="24"/>
          <w:szCs w:val="24"/>
        </w:rPr>
        <w:t>В случае участия победителя отбора или владельца транспортного средства в иных программах стимулирования переоборудования (в том числе за счет средств областного бюджета,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дополнительных программах. Масса транспортного средства определяется согласно свидетельству о регистрации транспортного средства. В случае если владельцем транспортного средства, переоборудованного на использование природного газа (метана) в качестве моторного топлива (в том числе на основании договора лизинга), является физическое лицо или юридическое лицо – субъект малого или среднего предпринимательства, в 2021 году максимальный размер субсидии, указанный в таблице, умножается на коэффициент 1,5.</w:t>
      </w:r>
    </w:p>
    <w:sectPr w:rsidR="00A10552" w:rsidRPr="00274CE3" w:rsidSect="00274CE3">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52"/>
    <w:rsid w:val="00274CE3"/>
    <w:rsid w:val="002B225D"/>
    <w:rsid w:val="00945C74"/>
    <w:rsid w:val="00A10552"/>
    <w:rsid w:val="00CE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552"/>
    <w:rPr>
      <w:rFonts w:ascii="Tahoma" w:hAnsi="Tahoma" w:cs="Tahoma"/>
      <w:sz w:val="16"/>
      <w:szCs w:val="16"/>
    </w:rPr>
  </w:style>
  <w:style w:type="paragraph" w:styleId="a5">
    <w:name w:val="No Spacing"/>
    <w:uiPriority w:val="1"/>
    <w:qFormat/>
    <w:rsid w:val="00A10552"/>
    <w:pPr>
      <w:spacing w:after="0" w:line="240" w:lineRule="auto"/>
    </w:pPr>
  </w:style>
  <w:style w:type="table" w:styleId="a6">
    <w:name w:val="Table Grid"/>
    <w:basedOn w:val="a1"/>
    <w:uiPriority w:val="59"/>
    <w:rsid w:val="0027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552"/>
    <w:rPr>
      <w:rFonts w:ascii="Tahoma" w:hAnsi="Tahoma" w:cs="Tahoma"/>
      <w:sz w:val="16"/>
      <w:szCs w:val="16"/>
    </w:rPr>
  </w:style>
  <w:style w:type="paragraph" w:styleId="a5">
    <w:name w:val="No Spacing"/>
    <w:uiPriority w:val="1"/>
    <w:qFormat/>
    <w:rsid w:val="00A10552"/>
    <w:pPr>
      <w:spacing w:after="0" w:line="240" w:lineRule="auto"/>
    </w:pPr>
  </w:style>
  <w:style w:type="table" w:styleId="a6">
    <w:name w:val="Table Grid"/>
    <w:basedOn w:val="a1"/>
    <w:uiPriority w:val="59"/>
    <w:rsid w:val="0027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2021-06-26T08:42:00Z</dcterms:created>
  <dcterms:modified xsi:type="dcterms:W3CDTF">2021-06-26T09:05:00Z</dcterms:modified>
</cp:coreProperties>
</file>